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47D6" w:rsidRPr="00757EC5" w:rsidRDefault="00AB0882">
      <w:pPr>
        <w:rPr>
          <w:rFonts w:ascii="Century Gothic" w:hAnsi="Century Gothic"/>
          <w:b/>
        </w:rPr>
      </w:pPr>
      <w:r>
        <w:rPr>
          <w:rFonts w:ascii="Century Gothic" w:hAnsi="Century Gothic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255270</wp:posOffset>
                </wp:positionV>
                <wp:extent cx="6708775" cy="0"/>
                <wp:effectExtent l="0" t="0" r="0" b="0"/>
                <wp:wrapNone/>
                <wp:docPr id="4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6708775" cy="0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4D10E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.15pt;margin-top:20.1pt;width:528.2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" strokecolor="#548dd4 [1951]" strokeweight=".5pt">
                <o:lock v:ext="edit" shapetype="f"/>
              </v:shape>
            </w:pict>
          </mc:Fallback>
        </mc:AlternateContent>
      </w:r>
      <w:r w:rsidR="004B5671" w:rsidRPr="00757EC5">
        <w:rPr>
          <w:rFonts w:ascii="Century Gothic" w:hAnsi="Century Gothic"/>
        </w:rPr>
        <w:t xml:space="preserve">Adapted from the scientific journal </w:t>
      </w:r>
      <w:r w:rsidR="004B5671" w:rsidRPr="00757EC5">
        <w:rPr>
          <w:rFonts w:ascii="Century Gothic" w:hAnsi="Century Gothic"/>
          <w:b/>
        </w:rPr>
        <w:t>Nature Communications</w:t>
      </w:r>
      <w:r w:rsidR="004B5671" w:rsidRPr="00757EC5">
        <w:rPr>
          <w:rFonts w:ascii="Century Gothic" w:hAnsi="Century Gothic"/>
          <w:b/>
        </w:rPr>
        <w:tab/>
      </w:r>
      <w:r w:rsidR="004B5671" w:rsidRPr="00757EC5">
        <w:rPr>
          <w:rFonts w:ascii="Century Gothic" w:hAnsi="Century Gothic"/>
          <w:b/>
        </w:rPr>
        <w:tab/>
      </w:r>
      <w:r w:rsidR="004B5671" w:rsidRPr="00757EC5">
        <w:rPr>
          <w:rFonts w:ascii="Century Gothic" w:hAnsi="Century Gothic"/>
          <w:b/>
        </w:rPr>
        <w:tab/>
      </w:r>
      <w:r w:rsidR="004B5671" w:rsidRPr="00757EC5">
        <w:rPr>
          <w:rFonts w:ascii="Century Gothic" w:hAnsi="Century Gothic"/>
          <w:b/>
        </w:rPr>
        <w:tab/>
      </w:r>
      <w:r w:rsidR="004B5671" w:rsidRPr="00757EC5">
        <w:rPr>
          <w:rFonts w:ascii="Century Gothic" w:hAnsi="Century Gothic"/>
        </w:rPr>
        <w:t>21 January 2014</w:t>
      </w:r>
    </w:p>
    <w:p w:rsidR="004B5671" w:rsidRDefault="004B5671" w:rsidP="00AE1374">
      <w:pPr>
        <w:jc w:val="center"/>
        <w:rPr>
          <w:rFonts w:ascii="Century Gothic" w:hAnsi="Century Gothic"/>
          <w:b/>
          <w:sz w:val="32"/>
          <w:szCs w:val="32"/>
        </w:rPr>
      </w:pPr>
      <w:r w:rsidRPr="00757EC5">
        <w:rPr>
          <w:rFonts w:ascii="Century Gothic" w:hAnsi="Century Gothic"/>
          <w:b/>
          <w:sz w:val="32"/>
          <w:szCs w:val="32"/>
        </w:rPr>
        <w:t>A high-energy-dens</w:t>
      </w:r>
      <w:r w:rsidR="006A2132" w:rsidRPr="00757EC5">
        <w:rPr>
          <w:rFonts w:ascii="Century Gothic" w:hAnsi="Century Gothic"/>
          <w:b/>
          <w:sz w:val="32"/>
          <w:szCs w:val="32"/>
        </w:rPr>
        <w:t xml:space="preserve">ity sugar biobattery </w:t>
      </w:r>
      <w:r w:rsidR="00757EC5">
        <w:rPr>
          <w:rFonts w:ascii="Century Gothic" w:hAnsi="Century Gothic"/>
          <w:b/>
          <w:sz w:val="32"/>
          <w:szCs w:val="32"/>
        </w:rPr>
        <w:br/>
      </w:r>
      <w:r w:rsidR="006A2132" w:rsidRPr="00757EC5">
        <w:rPr>
          <w:rFonts w:ascii="Century Gothic" w:hAnsi="Century Gothic"/>
          <w:b/>
          <w:sz w:val="32"/>
          <w:szCs w:val="32"/>
        </w:rPr>
        <w:t>based on a synthetic</w:t>
      </w:r>
      <w:r w:rsidR="005A64A1" w:rsidRPr="00757EC5">
        <w:rPr>
          <w:rFonts w:ascii="Century Gothic" w:hAnsi="Century Gothic"/>
          <w:b/>
          <w:sz w:val="32"/>
          <w:szCs w:val="32"/>
        </w:rPr>
        <w:t xml:space="preserve"> </w:t>
      </w:r>
      <w:r w:rsidRPr="00757EC5">
        <w:rPr>
          <w:rFonts w:ascii="Century Gothic" w:hAnsi="Century Gothic"/>
          <w:b/>
          <w:sz w:val="32"/>
          <w:szCs w:val="32"/>
        </w:rPr>
        <w:t>enzymatic pathway</w:t>
      </w:r>
    </w:p>
    <w:p w:rsidR="00AE1374" w:rsidRPr="00757EC5" w:rsidRDefault="00AE1374" w:rsidP="00AE1374">
      <w:pPr>
        <w:jc w:val="center"/>
        <w:rPr>
          <w:rFonts w:ascii="Century Gothic" w:hAnsi="Century Gothic"/>
          <w:b/>
          <w:sz w:val="24"/>
          <w:szCs w:val="24"/>
        </w:rPr>
        <w:sectPr w:rsidR="00AE1374" w:rsidRPr="00757EC5" w:rsidSect="004B5671">
          <w:headerReference w:type="default" r:id="rId6"/>
          <w:pgSz w:w="11906" w:h="16838"/>
          <w:pgMar w:top="720" w:right="720" w:bottom="720" w:left="720" w:header="708" w:footer="708" w:gutter="0"/>
          <w:cols w:space="708"/>
          <w:docGrid w:linePitch="360"/>
        </w:sectPr>
      </w:pPr>
    </w:p>
    <w:p w:rsidR="00757EC5" w:rsidRPr="009C77C8" w:rsidRDefault="00757EC5" w:rsidP="00757EC5">
      <w:pPr>
        <w:spacing w:before="240" w:after="0"/>
        <w:rPr>
          <w:rFonts w:ascii="Century Gothic" w:hAnsi="Century Gothic"/>
          <w:b/>
          <w:sz w:val="28"/>
          <w:szCs w:val="28"/>
        </w:rPr>
      </w:pPr>
      <w:r w:rsidRPr="009C77C8">
        <w:rPr>
          <w:rFonts w:ascii="Century Gothic" w:hAnsi="Century Gothic"/>
          <w:b/>
          <w:sz w:val="32"/>
          <w:szCs w:val="32"/>
        </w:rPr>
        <w:t>Abstract</w:t>
      </w:r>
      <w:r w:rsidRPr="009C77C8">
        <w:rPr>
          <w:rFonts w:ascii="Century Gothic" w:hAnsi="Century Gothic"/>
          <w:b/>
          <w:sz w:val="28"/>
          <w:szCs w:val="28"/>
        </w:rPr>
        <w:t xml:space="preserve"> </w:t>
      </w:r>
      <w:r>
        <w:rPr>
          <w:rFonts w:ascii="Century Gothic" w:hAnsi="Century Gothic"/>
          <w:b/>
          <w:sz w:val="28"/>
          <w:szCs w:val="28"/>
        </w:rPr>
        <w:t xml:space="preserve"> </w:t>
      </w:r>
      <w:r w:rsidRPr="009C77C8">
        <w:rPr>
          <w:rFonts w:ascii="Century Gothic" w:hAnsi="Century Gothic"/>
          <w:sz w:val="28"/>
          <w:szCs w:val="28"/>
        </w:rPr>
        <w:t>(summary)</w:t>
      </w:r>
    </w:p>
    <w:p w:rsidR="004B5671" w:rsidRPr="00AC1E3A" w:rsidRDefault="00E42DE0" w:rsidP="005A64A1">
      <w:pPr>
        <w:jc w:val="both"/>
        <w:rPr>
          <w:rFonts w:ascii="Century Gothic" w:hAnsi="Century Gothic"/>
          <w:b/>
        </w:rPr>
      </w:pPr>
      <w:r w:rsidRPr="00AC1E3A">
        <w:rPr>
          <w:rFonts w:ascii="Century Gothic" w:hAnsi="Century Gothic"/>
          <w:b/>
        </w:rPr>
        <w:t xml:space="preserve">High-energy-density, green, safe batteries are desirable for meeting the rapidly growing needs of portable electronics. Previously-made sugar batteries have low energy densities. We have made </w:t>
      </w:r>
      <w:r w:rsidR="00ED53DC" w:rsidRPr="00AC1E3A">
        <w:rPr>
          <w:rFonts w:ascii="Century Gothic" w:hAnsi="Century Gothic"/>
          <w:b/>
        </w:rPr>
        <w:t xml:space="preserve">a </w:t>
      </w:r>
      <w:r w:rsidRPr="00AC1E3A">
        <w:rPr>
          <w:rFonts w:ascii="Century Gothic" w:hAnsi="Century Gothic"/>
          <w:b/>
        </w:rPr>
        <w:t>fuel cell in which maltodextrin sugar is broken down by enzymes in the presence of air. Its maximum power output is 0.8 mW/cm</w:t>
      </w:r>
      <w:r w:rsidRPr="00AC1E3A">
        <w:rPr>
          <w:rFonts w:ascii="Century Gothic" w:hAnsi="Century Gothic"/>
          <w:b/>
          <w:vertAlign w:val="superscript"/>
        </w:rPr>
        <w:t>2</w:t>
      </w:r>
      <w:r w:rsidR="00C315B2" w:rsidRPr="00AC1E3A">
        <w:rPr>
          <w:rFonts w:ascii="Century Gothic" w:hAnsi="Century Gothic"/>
          <w:b/>
        </w:rPr>
        <w:t xml:space="preserve">, far higher than previous systems. Its energy-storage density is </w:t>
      </w:r>
      <w:r w:rsidR="00C02C8F" w:rsidRPr="00AC1E3A">
        <w:rPr>
          <w:rFonts w:ascii="Century Gothic" w:hAnsi="Century Gothic"/>
          <w:b/>
        </w:rPr>
        <w:t>298 W</w:t>
      </w:r>
      <w:r w:rsidR="00C315B2" w:rsidRPr="00AC1E3A">
        <w:rPr>
          <w:rFonts w:ascii="Century Gothic" w:hAnsi="Century Gothic"/>
          <w:b/>
        </w:rPr>
        <w:t>h/kg, much greater than that of lithium-ion</w:t>
      </w:r>
      <w:r w:rsidR="003C5512" w:rsidRPr="00AC1E3A">
        <w:rPr>
          <w:rFonts w:ascii="Century Gothic" w:hAnsi="Century Gothic"/>
          <w:b/>
        </w:rPr>
        <w:t xml:space="preserve"> </w:t>
      </w:r>
      <w:r w:rsidR="00C315B2" w:rsidRPr="00AC1E3A">
        <w:rPr>
          <w:rFonts w:ascii="Century Gothic" w:hAnsi="Century Gothic"/>
          <w:b/>
        </w:rPr>
        <w:t>batteries. Sugar-powered biobatteries could serve as next-generation</w:t>
      </w:r>
      <w:r w:rsidR="00C02C8F" w:rsidRPr="00AC1E3A">
        <w:rPr>
          <w:rFonts w:ascii="Century Gothic" w:hAnsi="Century Gothic"/>
          <w:b/>
        </w:rPr>
        <w:t xml:space="preserve"> green power sources </w:t>
      </w:r>
      <w:r w:rsidR="00C315B2" w:rsidRPr="00AC1E3A">
        <w:rPr>
          <w:rFonts w:ascii="Century Gothic" w:hAnsi="Century Gothic"/>
          <w:b/>
        </w:rPr>
        <w:t>for portable electronics.</w:t>
      </w:r>
    </w:p>
    <w:p w:rsidR="00AE1374" w:rsidRDefault="00AE1374" w:rsidP="00757EC5">
      <w:pPr>
        <w:spacing w:before="120" w:after="120"/>
        <w:rPr>
          <w:rFonts w:ascii="Century Gothic" w:hAnsi="Century Gothic"/>
          <w:b/>
          <w:sz w:val="32"/>
          <w:szCs w:val="32"/>
        </w:rPr>
        <w:sectPr w:rsidR="00AE1374" w:rsidSect="00AE1374">
          <w:type w:val="continuous"/>
          <w:pgSz w:w="11906" w:h="16838"/>
          <w:pgMar w:top="720" w:right="720" w:bottom="720" w:left="720" w:header="708" w:footer="708" w:gutter="0"/>
          <w:cols w:space="566"/>
          <w:docGrid w:linePitch="360"/>
        </w:sectPr>
      </w:pPr>
    </w:p>
    <w:p w:rsidR="00757EC5" w:rsidRPr="00977A06" w:rsidRDefault="00AB0882" w:rsidP="0071765C">
      <w:pPr>
        <w:spacing w:before="120" w:after="120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3318510</wp:posOffset>
                </wp:positionH>
                <wp:positionV relativeFrom="paragraph">
                  <wp:posOffset>35560</wp:posOffset>
                </wp:positionV>
                <wp:extent cx="0" cy="6881495"/>
                <wp:effectExtent l="0" t="0" r="0" b="1905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 bwMode="auto">
                        <a:xfrm>
                          <a:off x="0" y="0"/>
                          <a:ext cx="0" cy="688149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F91E1F" id="AutoShape 4" o:spid="_x0000_s1026" type="#_x0000_t32" style="position:absolute;margin-left:261.3pt;margin-top:2.8pt;width:0;height:541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" strokecolor="#548dd4 [1951]" strokeweight=".5pt">
                <o:lock v:ext="edit" shapetype="f"/>
              </v:shape>
            </w:pict>
          </mc:Fallback>
        </mc:AlternateContent>
      </w:r>
      <w:r w:rsidR="00757EC5" w:rsidRPr="00977A06">
        <w:rPr>
          <w:rFonts w:ascii="Century Gothic" w:hAnsi="Century Gothic"/>
          <w:b/>
          <w:sz w:val="32"/>
          <w:szCs w:val="32"/>
        </w:rPr>
        <w:t>Introduction</w:t>
      </w:r>
    </w:p>
    <w:p w:rsidR="00E956FA" w:rsidRPr="00AC1E3A" w:rsidRDefault="00E956FA" w:rsidP="005A64A1">
      <w:pPr>
        <w:jc w:val="both"/>
        <w:rPr>
          <w:rFonts w:ascii="Century Gothic" w:hAnsi="Century Gothic"/>
          <w:sz w:val="20"/>
          <w:szCs w:val="20"/>
        </w:rPr>
      </w:pPr>
      <w:r w:rsidRPr="00AC1E3A">
        <w:rPr>
          <w:rFonts w:ascii="Century Gothic" w:hAnsi="Century Gothic"/>
          <w:sz w:val="20"/>
          <w:szCs w:val="20"/>
        </w:rPr>
        <w:t>The widespread use of lithium-ion and other metal-containing batteries raises many concerns, mainly related to safety, toxic metal pollution and the availability of cost</w:t>
      </w:r>
      <w:r w:rsidR="00ED53DC" w:rsidRPr="00AC1E3A">
        <w:rPr>
          <w:rFonts w:ascii="Century Gothic" w:hAnsi="Century Gothic"/>
          <w:sz w:val="20"/>
          <w:szCs w:val="20"/>
        </w:rPr>
        <w:t>ly and</w:t>
      </w:r>
      <w:bookmarkStart w:id="0" w:name="_GoBack"/>
      <w:bookmarkEnd w:id="0"/>
      <w:r w:rsidR="00ED53DC" w:rsidRPr="00AC1E3A">
        <w:rPr>
          <w:rFonts w:ascii="Century Gothic" w:hAnsi="Century Gothic"/>
          <w:sz w:val="20"/>
          <w:szCs w:val="20"/>
        </w:rPr>
        <w:t xml:space="preserve"> limited </w:t>
      </w:r>
      <w:r w:rsidRPr="00AC1E3A">
        <w:rPr>
          <w:rFonts w:ascii="Century Gothic" w:hAnsi="Century Gothic"/>
          <w:sz w:val="20"/>
          <w:szCs w:val="20"/>
        </w:rPr>
        <w:t>resources.</w:t>
      </w:r>
    </w:p>
    <w:p w:rsidR="00AD5BF0" w:rsidRPr="00AC1E3A" w:rsidRDefault="00E956FA" w:rsidP="005A64A1">
      <w:pPr>
        <w:jc w:val="both"/>
        <w:rPr>
          <w:rFonts w:ascii="Century Gothic" w:hAnsi="Century Gothic"/>
          <w:sz w:val="20"/>
          <w:szCs w:val="20"/>
        </w:rPr>
      </w:pPr>
      <w:r w:rsidRPr="00AC1E3A">
        <w:rPr>
          <w:rFonts w:ascii="Century Gothic" w:hAnsi="Century Gothic"/>
          <w:sz w:val="20"/>
          <w:szCs w:val="20"/>
        </w:rPr>
        <w:t xml:space="preserve">Enzymatic fuel </w:t>
      </w:r>
      <w:r w:rsidR="00AD5BF0" w:rsidRPr="00AC1E3A">
        <w:rPr>
          <w:rFonts w:ascii="Century Gothic" w:hAnsi="Century Gothic"/>
          <w:sz w:val="20"/>
          <w:szCs w:val="20"/>
        </w:rPr>
        <w:t>cells (EFCs) are emerging devices that use enzymes to help generate electricity from energy stored in natural substances such as sugars.</w:t>
      </w:r>
    </w:p>
    <w:p w:rsidR="00C315B2" w:rsidRPr="00757EC5" w:rsidRDefault="00AD5BF0" w:rsidP="005A64A1">
      <w:pPr>
        <w:jc w:val="both"/>
        <w:rPr>
          <w:rFonts w:ascii="Century Gothic" w:hAnsi="Century Gothic"/>
        </w:rPr>
      </w:pPr>
      <w:r w:rsidRPr="00AC1E3A">
        <w:rPr>
          <w:rFonts w:ascii="Century Gothic" w:hAnsi="Century Gothic"/>
          <w:sz w:val="20"/>
          <w:szCs w:val="20"/>
        </w:rPr>
        <w:t xml:space="preserve">Sugars are appealing fuels because they are abundant, renewable, </w:t>
      </w:r>
      <w:r w:rsidR="00C02C8F" w:rsidRPr="00AC1E3A">
        <w:rPr>
          <w:rFonts w:ascii="Century Gothic" w:hAnsi="Century Gothic"/>
          <w:sz w:val="20"/>
          <w:szCs w:val="20"/>
        </w:rPr>
        <w:t xml:space="preserve">cheap </w:t>
      </w:r>
      <w:r w:rsidRPr="00AC1E3A">
        <w:rPr>
          <w:rFonts w:ascii="Century Gothic" w:hAnsi="Century Gothic"/>
          <w:sz w:val="20"/>
          <w:szCs w:val="20"/>
        </w:rPr>
        <w:t xml:space="preserve">and carbon neutral. Maltodextrin is </w:t>
      </w:r>
      <w:r w:rsidR="00971291" w:rsidRPr="00AC1E3A">
        <w:rPr>
          <w:rFonts w:ascii="Century Gothic" w:hAnsi="Century Gothic"/>
          <w:sz w:val="20"/>
          <w:szCs w:val="20"/>
        </w:rPr>
        <w:t>a sugar made from starch. It is an excellent EFC fuel because it is cheap and has a high energy density</w:t>
      </w:r>
      <w:r w:rsidR="00971291" w:rsidRPr="00757EC5">
        <w:rPr>
          <w:rFonts w:ascii="Century Gothic" w:hAnsi="Century Gothic"/>
        </w:rPr>
        <w:t>.</w:t>
      </w:r>
    </w:p>
    <w:p w:rsidR="00757EC5" w:rsidRPr="00977A06" w:rsidRDefault="00757EC5" w:rsidP="0071765C">
      <w:pPr>
        <w:spacing w:after="120"/>
        <w:rPr>
          <w:rFonts w:ascii="Century Gothic" w:hAnsi="Century Gothic"/>
          <w:b/>
          <w:sz w:val="32"/>
          <w:szCs w:val="32"/>
        </w:rPr>
      </w:pPr>
      <w:r w:rsidRPr="00977A06">
        <w:rPr>
          <w:rFonts w:ascii="Century Gothic" w:hAnsi="Century Gothic"/>
          <w:b/>
          <w:sz w:val="32"/>
          <w:szCs w:val="32"/>
        </w:rPr>
        <w:t xml:space="preserve">Methods  </w:t>
      </w:r>
    </w:p>
    <w:p w:rsidR="00ED53DC" w:rsidRPr="00AC1E3A" w:rsidRDefault="00510692" w:rsidP="005A64A1">
      <w:pPr>
        <w:jc w:val="both"/>
        <w:rPr>
          <w:rFonts w:ascii="Century Gothic" w:hAnsi="Century Gothic"/>
          <w:b/>
          <w:sz w:val="20"/>
          <w:szCs w:val="20"/>
        </w:rPr>
      </w:pPr>
      <w:r w:rsidRPr="00AC1E3A">
        <w:rPr>
          <w:rFonts w:ascii="Century Gothic" w:hAnsi="Century Gothic"/>
          <w:sz w:val="20"/>
          <w:szCs w:val="20"/>
        </w:rPr>
        <w:t xml:space="preserve">We built EFC </w:t>
      </w:r>
      <w:r w:rsidR="003C5512" w:rsidRPr="00AC1E3A">
        <w:rPr>
          <w:rFonts w:ascii="Century Gothic" w:hAnsi="Century Gothic"/>
          <w:sz w:val="20"/>
          <w:szCs w:val="20"/>
        </w:rPr>
        <w:t xml:space="preserve">apparatus </w:t>
      </w:r>
      <w:r w:rsidRPr="00AC1E3A">
        <w:rPr>
          <w:rFonts w:ascii="Century Gothic" w:hAnsi="Century Gothic"/>
          <w:sz w:val="20"/>
          <w:szCs w:val="20"/>
        </w:rPr>
        <w:t xml:space="preserve">that allowed air to enter. We produced 13 enzymes for use in our fuel cell. We compared the current, power and energy densities of fuel cells </w:t>
      </w:r>
      <w:r w:rsidR="009E6C64" w:rsidRPr="00AC1E3A">
        <w:rPr>
          <w:rFonts w:ascii="Century Gothic" w:hAnsi="Century Gothic"/>
          <w:sz w:val="20"/>
          <w:szCs w:val="20"/>
        </w:rPr>
        <w:t xml:space="preserve">set up in different ways and </w:t>
      </w:r>
      <w:r w:rsidRPr="00AC1E3A">
        <w:rPr>
          <w:rFonts w:ascii="Century Gothic" w:hAnsi="Century Gothic"/>
          <w:sz w:val="20"/>
          <w:szCs w:val="20"/>
        </w:rPr>
        <w:t>operating in different conditions.</w:t>
      </w:r>
    </w:p>
    <w:p w:rsidR="00757EC5" w:rsidRPr="00977A06" w:rsidRDefault="00AE1374" w:rsidP="0071765C">
      <w:pPr>
        <w:spacing w:after="120"/>
        <w:rPr>
          <w:rFonts w:ascii="Century Gothic" w:hAnsi="Century Gothic"/>
          <w:b/>
          <w:sz w:val="32"/>
          <w:szCs w:val="32"/>
        </w:rPr>
      </w:pPr>
      <w:r>
        <w:rPr>
          <w:rFonts w:ascii="Century Gothic" w:hAnsi="Century Gothic"/>
          <w:b/>
          <w:sz w:val="32"/>
          <w:szCs w:val="32"/>
        </w:rPr>
        <w:t>R</w:t>
      </w:r>
      <w:r w:rsidR="00757EC5" w:rsidRPr="00977A06">
        <w:rPr>
          <w:rFonts w:ascii="Century Gothic" w:hAnsi="Century Gothic"/>
          <w:b/>
          <w:sz w:val="32"/>
          <w:szCs w:val="32"/>
        </w:rPr>
        <w:t>esults</w:t>
      </w:r>
    </w:p>
    <w:p w:rsidR="00032CAE" w:rsidRPr="00AC1E3A" w:rsidRDefault="00856C82" w:rsidP="005A64A1">
      <w:pPr>
        <w:jc w:val="both"/>
        <w:rPr>
          <w:rFonts w:ascii="Century Gothic" w:hAnsi="Century Gothic"/>
          <w:sz w:val="20"/>
          <w:szCs w:val="20"/>
        </w:rPr>
      </w:pPr>
      <w:r w:rsidRPr="00AC1E3A">
        <w:rPr>
          <w:rFonts w:ascii="Century Gothic" w:hAnsi="Century Gothic"/>
          <w:sz w:val="20"/>
          <w:szCs w:val="20"/>
        </w:rPr>
        <w:t>We found that a stack</w:t>
      </w:r>
      <w:r w:rsidR="001731EC" w:rsidRPr="00AC1E3A">
        <w:rPr>
          <w:rFonts w:ascii="Century Gothic" w:hAnsi="Century Gothic"/>
          <w:sz w:val="20"/>
          <w:szCs w:val="20"/>
        </w:rPr>
        <w:t xml:space="preserve"> of </w:t>
      </w:r>
      <w:r w:rsidRPr="00AC1E3A">
        <w:rPr>
          <w:rFonts w:ascii="Century Gothic" w:hAnsi="Century Gothic"/>
          <w:sz w:val="20"/>
          <w:szCs w:val="20"/>
        </w:rPr>
        <w:t xml:space="preserve">two </w:t>
      </w:r>
      <w:r w:rsidR="001731EC" w:rsidRPr="00AC1E3A">
        <w:rPr>
          <w:rFonts w:ascii="Century Gothic" w:hAnsi="Century Gothic"/>
          <w:sz w:val="20"/>
          <w:szCs w:val="20"/>
        </w:rPr>
        <w:t>EFCs could power a digital clock and light-emitting diode</w:t>
      </w:r>
      <w:r w:rsidR="00ED53DC" w:rsidRPr="00AC1E3A">
        <w:rPr>
          <w:rFonts w:ascii="Century Gothic" w:hAnsi="Century Gothic"/>
          <w:sz w:val="20"/>
          <w:szCs w:val="20"/>
        </w:rPr>
        <w:t xml:space="preserve"> (LED)</w:t>
      </w:r>
      <w:r w:rsidR="001731EC" w:rsidRPr="00AC1E3A">
        <w:rPr>
          <w:rFonts w:ascii="Century Gothic" w:hAnsi="Century Gothic"/>
          <w:sz w:val="20"/>
          <w:szCs w:val="20"/>
        </w:rPr>
        <w:t>. This suggests that these EFCs could be used to power electronic devices in the near future.</w:t>
      </w:r>
    </w:p>
    <w:p w:rsidR="001731EC" w:rsidRPr="00757EC5" w:rsidRDefault="001731EC" w:rsidP="0071765C">
      <w:pPr>
        <w:spacing w:after="120"/>
        <w:jc w:val="both"/>
        <w:rPr>
          <w:rFonts w:ascii="Century Gothic" w:hAnsi="Century Gothic"/>
          <w:b/>
          <w:sz w:val="32"/>
          <w:szCs w:val="32"/>
        </w:rPr>
      </w:pPr>
      <w:r w:rsidRPr="00757EC5">
        <w:rPr>
          <w:rFonts w:ascii="Century Gothic" w:hAnsi="Century Gothic"/>
          <w:b/>
          <w:sz w:val="32"/>
          <w:szCs w:val="32"/>
        </w:rPr>
        <w:t>Discussion</w:t>
      </w:r>
    </w:p>
    <w:p w:rsidR="00856C82" w:rsidRPr="00AC1E3A" w:rsidRDefault="001731EC" w:rsidP="005A64A1">
      <w:pPr>
        <w:jc w:val="both"/>
        <w:rPr>
          <w:rFonts w:ascii="Century Gothic" w:hAnsi="Century Gothic"/>
          <w:sz w:val="20"/>
          <w:szCs w:val="20"/>
        </w:rPr>
      </w:pPr>
      <w:r w:rsidRPr="00AC1E3A">
        <w:rPr>
          <w:rFonts w:ascii="Century Gothic" w:hAnsi="Century Gothic"/>
          <w:sz w:val="20"/>
          <w:szCs w:val="20"/>
        </w:rPr>
        <w:t>The energy density of one</w:t>
      </w:r>
      <w:r w:rsidR="00ED53DC" w:rsidRPr="00AC1E3A">
        <w:rPr>
          <w:rFonts w:ascii="Century Gothic" w:hAnsi="Century Gothic"/>
          <w:sz w:val="20"/>
          <w:szCs w:val="20"/>
        </w:rPr>
        <w:t xml:space="preserve"> of our</w:t>
      </w:r>
      <w:r w:rsidRPr="00AC1E3A">
        <w:rPr>
          <w:rFonts w:ascii="Century Gothic" w:hAnsi="Century Gothic"/>
          <w:sz w:val="20"/>
          <w:szCs w:val="20"/>
        </w:rPr>
        <w:t xml:space="preserve"> EFC</w:t>
      </w:r>
      <w:r w:rsidR="00ED53DC" w:rsidRPr="00AC1E3A">
        <w:rPr>
          <w:rFonts w:ascii="Century Gothic" w:hAnsi="Century Gothic"/>
          <w:sz w:val="20"/>
          <w:szCs w:val="20"/>
        </w:rPr>
        <w:t>s</w:t>
      </w:r>
      <w:r w:rsidR="00395D83" w:rsidRPr="00AC1E3A">
        <w:rPr>
          <w:rFonts w:ascii="Century Gothic" w:hAnsi="Century Gothic"/>
          <w:sz w:val="20"/>
          <w:szCs w:val="20"/>
        </w:rPr>
        <w:t xml:space="preserve"> </w:t>
      </w:r>
      <w:r w:rsidRPr="00AC1E3A">
        <w:rPr>
          <w:rFonts w:ascii="Century Gothic" w:hAnsi="Century Gothic"/>
          <w:sz w:val="20"/>
          <w:szCs w:val="20"/>
        </w:rPr>
        <w:t xml:space="preserve">was </w:t>
      </w:r>
      <w:r w:rsidR="00395D83" w:rsidRPr="00AC1E3A">
        <w:rPr>
          <w:rFonts w:ascii="Century Gothic" w:hAnsi="Century Gothic"/>
          <w:sz w:val="20"/>
          <w:szCs w:val="20"/>
        </w:rPr>
        <w:t>298 W</w:t>
      </w:r>
      <w:r w:rsidRPr="00AC1E3A">
        <w:rPr>
          <w:rFonts w:ascii="Century Gothic" w:hAnsi="Century Gothic"/>
          <w:sz w:val="20"/>
          <w:szCs w:val="20"/>
        </w:rPr>
        <w:t xml:space="preserve">h/kg, much greater than </w:t>
      </w:r>
      <w:r w:rsidR="003C5512" w:rsidRPr="00AC1E3A">
        <w:rPr>
          <w:rFonts w:ascii="Century Gothic" w:hAnsi="Century Gothic"/>
          <w:sz w:val="20"/>
          <w:szCs w:val="20"/>
        </w:rPr>
        <w:t xml:space="preserve">for </w:t>
      </w:r>
      <w:r w:rsidRPr="00AC1E3A">
        <w:rPr>
          <w:rFonts w:ascii="Century Gothic" w:hAnsi="Century Gothic"/>
          <w:sz w:val="20"/>
          <w:szCs w:val="20"/>
        </w:rPr>
        <w:t>a lithium-ion battery.</w:t>
      </w:r>
      <w:r w:rsidR="00856C82" w:rsidRPr="00AC1E3A">
        <w:rPr>
          <w:rFonts w:ascii="Century Gothic" w:hAnsi="Century Gothic"/>
          <w:sz w:val="20"/>
          <w:szCs w:val="20"/>
        </w:rPr>
        <w:t xml:space="preserve"> </w:t>
      </w:r>
    </w:p>
    <w:p w:rsidR="00856C82" w:rsidRPr="00AC1E3A" w:rsidRDefault="00856C82" w:rsidP="005A64A1">
      <w:pPr>
        <w:jc w:val="both"/>
        <w:rPr>
          <w:rFonts w:ascii="Century Gothic" w:hAnsi="Century Gothic"/>
          <w:sz w:val="20"/>
          <w:szCs w:val="20"/>
        </w:rPr>
      </w:pPr>
      <w:r w:rsidRPr="00AC1E3A">
        <w:rPr>
          <w:rFonts w:ascii="Century Gothic" w:hAnsi="Century Gothic"/>
          <w:sz w:val="20"/>
          <w:szCs w:val="20"/>
        </w:rPr>
        <w:t>The bar chart compares the energy densities of different batteries</w:t>
      </w:r>
      <w:r w:rsidR="003C5512" w:rsidRPr="00AC1E3A">
        <w:rPr>
          <w:rFonts w:ascii="Century Gothic" w:hAnsi="Century Gothic"/>
          <w:sz w:val="20"/>
          <w:szCs w:val="20"/>
        </w:rPr>
        <w:t xml:space="preserve"> with our maltodextrin EFC</w:t>
      </w:r>
      <w:r w:rsidRPr="00AC1E3A">
        <w:rPr>
          <w:rFonts w:ascii="Century Gothic" w:hAnsi="Century Gothic"/>
          <w:sz w:val="20"/>
          <w:szCs w:val="20"/>
        </w:rPr>
        <w:t>.</w:t>
      </w:r>
    </w:p>
    <w:p w:rsidR="00D53028" w:rsidRPr="00757EC5" w:rsidRDefault="00AB0882" w:rsidP="005A64A1">
      <w:pPr>
        <w:jc w:val="both"/>
        <w:rPr>
          <w:rFonts w:ascii="Century Gothic" w:hAnsi="Century Gothic"/>
        </w:rPr>
      </w:pPr>
      <w:r>
        <w:rPr>
          <w:rFonts w:ascii="Century Gothic" w:hAnsi="Century Gothic"/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158115</wp:posOffset>
                </wp:positionH>
                <wp:positionV relativeFrom="paragraph">
                  <wp:posOffset>1268730</wp:posOffset>
                </wp:positionV>
                <wp:extent cx="866775" cy="228600"/>
                <wp:effectExtent l="0" t="0" r="0" b="0"/>
                <wp:wrapNone/>
                <wp:docPr id="1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866775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1765C" w:rsidRPr="0071765C" w:rsidRDefault="0071765C">
                            <w:pPr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1765C">
                              <w:rPr>
                                <w:b/>
                                <w:sz w:val="18"/>
                                <w:szCs w:val="18"/>
                              </w:rPr>
                              <w:t>Battery type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12.45pt;margin-top:99.9pt;width:68.25pt;height:1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" filled="f" stroked="f">
                <v:path arrowok="t"/>
                <v:textbox>
                  <w:txbxContent>
                    <w:p w:rsidR="0071765C" w:rsidRPr="0071765C" w:rsidRDefault="0071765C">
                      <w:pPr>
                        <w:rPr>
                          <w:b/>
                          <w:sz w:val="18"/>
                          <w:szCs w:val="18"/>
                        </w:rPr>
                      </w:pPr>
                      <w:r w:rsidRPr="0071765C">
                        <w:rPr>
                          <w:b/>
                          <w:sz w:val="18"/>
                          <w:szCs w:val="18"/>
                        </w:rPr>
                        <w:t>Battery type</w:t>
                      </w:r>
                    </w:p>
                  </w:txbxContent>
                </v:textbox>
              </v:shape>
            </w:pict>
          </mc:Fallback>
        </mc:AlternateContent>
      </w:r>
      <w:r w:rsidR="00EE3872" w:rsidRPr="00757EC5">
        <w:rPr>
          <w:rFonts w:ascii="Century Gothic" w:hAnsi="Century Gothic"/>
          <w:noProof/>
          <w:lang w:eastAsia="en-GB"/>
        </w:rPr>
        <w:drawing>
          <wp:inline distT="0" distB="0" distL="0" distR="0">
            <wp:extent cx="3305175" cy="1647825"/>
            <wp:effectExtent l="19050" t="0" r="9525" b="0"/>
            <wp:docPr id="2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5A64A1" w:rsidRPr="00AC1E3A" w:rsidRDefault="00856C82" w:rsidP="005A64A1">
      <w:pPr>
        <w:jc w:val="both"/>
        <w:rPr>
          <w:rFonts w:ascii="Century Gothic" w:hAnsi="Century Gothic"/>
          <w:sz w:val="20"/>
          <w:szCs w:val="20"/>
        </w:rPr>
      </w:pPr>
      <w:r w:rsidRPr="00AC1E3A">
        <w:rPr>
          <w:rFonts w:ascii="Century Gothic" w:hAnsi="Century Gothic"/>
          <w:sz w:val="20"/>
          <w:szCs w:val="20"/>
        </w:rPr>
        <w:t>The data show that maltodextrin has a higher energy density than</w:t>
      </w:r>
      <w:r w:rsidR="00395D83" w:rsidRPr="00AC1E3A">
        <w:rPr>
          <w:rFonts w:ascii="Century Gothic" w:hAnsi="Century Gothic"/>
          <w:sz w:val="20"/>
          <w:szCs w:val="20"/>
        </w:rPr>
        <w:t xml:space="preserve"> </w:t>
      </w:r>
      <w:r w:rsidR="003C5512" w:rsidRPr="00AC1E3A">
        <w:rPr>
          <w:rFonts w:ascii="Century Gothic" w:hAnsi="Century Gothic"/>
          <w:sz w:val="20"/>
          <w:szCs w:val="20"/>
        </w:rPr>
        <w:t>other types of battery</w:t>
      </w:r>
      <w:r w:rsidR="005A64A1" w:rsidRPr="00AC1E3A">
        <w:rPr>
          <w:rFonts w:ascii="Century Gothic" w:hAnsi="Century Gothic"/>
          <w:sz w:val="20"/>
          <w:szCs w:val="20"/>
        </w:rPr>
        <w:t xml:space="preserve">. </w:t>
      </w:r>
    </w:p>
    <w:p w:rsidR="00971291" w:rsidRPr="00AC1E3A" w:rsidRDefault="00ED53DC" w:rsidP="005A64A1">
      <w:pPr>
        <w:jc w:val="both"/>
        <w:rPr>
          <w:rFonts w:ascii="Century Gothic" w:hAnsi="Century Gothic"/>
          <w:sz w:val="20"/>
          <w:szCs w:val="20"/>
        </w:rPr>
      </w:pPr>
      <w:r w:rsidRPr="00AC1E3A">
        <w:rPr>
          <w:rFonts w:ascii="Century Gothic" w:hAnsi="Century Gothic"/>
          <w:sz w:val="20"/>
          <w:szCs w:val="20"/>
        </w:rPr>
        <w:t>An important issue</w:t>
      </w:r>
      <w:r w:rsidR="00856C82" w:rsidRPr="00AC1E3A">
        <w:rPr>
          <w:rFonts w:ascii="Century Gothic" w:hAnsi="Century Gothic"/>
          <w:sz w:val="20"/>
          <w:szCs w:val="20"/>
        </w:rPr>
        <w:t xml:space="preserve"> for sugar biobatteries is extending their lifetime. This must be resolved before EFCs can be used on a large scale.</w:t>
      </w:r>
    </w:p>
    <w:p w:rsidR="00D53028" w:rsidRPr="00AC1E3A" w:rsidRDefault="00D53028" w:rsidP="005A64A1">
      <w:pPr>
        <w:jc w:val="both"/>
        <w:rPr>
          <w:rFonts w:ascii="Century Gothic" w:hAnsi="Century Gothic"/>
          <w:sz w:val="20"/>
          <w:szCs w:val="20"/>
        </w:rPr>
      </w:pPr>
      <w:r w:rsidRPr="00AC1E3A">
        <w:rPr>
          <w:rFonts w:ascii="Century Gothic" w:hAnsi="Century Gothic"/>
          <w:sz w:val="20"/>
          <w:szCs w:val="20"/>
        </w:rPr>
        <w:t>To summarise, high-energy-density sugar biobatteries could represent the next generation of environmentally-friendly power sources, because of their high energy density, safety</w:t>
      </w:r>
      <w:r w:rsidR="003C5512" w:rsidRPr="00AC1E3A">
        <w:rPr>
          <w:rFonts w:ascii="Century Gothic" w:hAnsi="Century Gothic"/>
          <w:sz w:val="20"/>
          <w:szCs w:val="20"/>
        </w:rPr>
        <w:t>, biodegradability and low cost</w:t>
      </w:r>
      <w:r w:rsidRPr="00AC1E3A">
        <w:rPr>
          <w:rFonts w:ascii="Century Gothic" w:hAnsi="Century Gothic"/>
          <w:sz w:val="20"/>
          <w:szCs w:val="20"/>
        </w:rPr>
        <w:t>.</w:t>
      </w:r>
    </w:p>
    <w:p w:rsidR="00C02C8F" w:rsidRPr="00757EC5" w:rsidRDefault="00C67F35" w:rsidP="0071765C">
      <w:pPr>
        <w:pStyle w:val="Geenafstand"/>
        <w:spacing w:after="60"/>
        <w:rPr>
          <w:rFonts w:ascii="Century Gothic" w:hAnsi="Century Gothic"/>
          <w:b/>
        </w:rPr>
      </w:pPr>
      <w:r w:rsidRPr="00757EC5">
        <w:rPr>
          <w:rFonts w:ascii="Century Gothic" w:hAnsi="Century Gothic"/>
          <w:b/>
        </w:rPr>
        <w:t>Supplementary information</w:t>
      </w:r>
    </w:p>
    <w:p w:rsidR="00C67F35" w:rsidRPr="00757EC5" w:rsidRDefault="00C67F35" w:rsidP="00AC1E3A">
      <w:pPr>
        <w:pStyle w:val="Geenafstand"/>
        <w:spacing w:after="120"/>
        <w:rPr>
          <w:rFonts w:ascii="Century Gothic" w:hAnsi="Century Gothic"/>
        </w:rPr>
      </w:pPr>
      <w:r w:rsidRPr="00757EC5">
        <w:rPr>
          <w:rFonts w:ascii="Century Gothic" w:hAnsi="Century Gothic"/>
        </w:rPr>
        <w:t xml:space="preserve">The bar chart is based on data in </w:t>
      </w:r>
      <w:r w:rsidR="00C02C8F" w:rsidRPr="00757EC5">
        <w:rPr>
          <w:rFonts w:ascii="Century Gothic" w:hAnsi="Century Gothic"/>
        </w:rPr>
        <w:t xml:space="preserve">the table. </w:t>
      </w:r>
    </w:p>
    <w:tbl>
      <w:tblPr>
        <w:tblStyle w:val="Tabelraster"/>
        <w:tblW w:w="5103" w:type="dxa"/>
        <w:tblInd w:w="108" w:type="dxa"/>
        <w:tblBorders>
          <w:top w:val="single" w:sz="8" w:space="0" w:color="0070C0"/>
          <w:left w:val="single" w:sz="8" w:space="0" w:color="0070C0"/>
          <w:bottom w:val="single" w:sz="8" w:space="0" w:color="0070C0"/>
          <w:right w:val="single" w:sz="8" w:space="0" w:color="0070C0"/>
          <w:insideH w:val="single" w:sz="4" w:space="0" w:color="0070C0"/>
          <w:insideV w:val="single" w:sz="4" w:space="0" w:color="0070C0"/>
        </w:tblBorders>
        <w:tblCellMar>
          <w:top w:w="28" w:type="dxa"/>
          <w:bottom w:w="28" w:type="dxa"/>
        </w:tblCellMar>
        <w:tblLook w:val="04A0" w:firstRow="1" w:lastRow="0" w:firstColumn="1" w:lastColumn="0" w:noHBand="0" w:noVBand="1"/>
      </w:tblPr>
      <w:tblGrid>
        <w:gridCol w:w="2410"/>
        <w:gridCol w:w="1559"/>
        <w:gridCol w:w="1134"/>
      </w:tblGrid>
      <w:tr w:rsidR="00C02C8F" w:rsidRPr="00757EC5" w:rsidTr="00030439">
        <w:tc>
          <w:tcPr>
            <w:tcW w:w="2410" w:type="dxa"/>
            <w:tcBorders>
              <w:top w:val="single" w:sz="8" w:space="0" w:color="0070C0"/>
              <w:bottom w:val="single" w:sz="8" w:space="0" w:color="0070C0"/>
            </w:tcBorders>
            <w:shd w:val="clear" w:color="auto" w:fill="DBE5F1" w:themeFill="accent1" w:themeFillTint="33"/>
            <w:vAlign w:val="center"/>
          </w:tcPr>
          <w:p w:rsidR="00C02C8F" w:rsidRPr="00757EC5" w:rsidRDefault="00C02C8F" w:rsidP="00AC1E3A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757EC5">
              <w:rPr>
                <w:rFonts w:ascii="Century Gothic" w:hAnsi="Century Gothic"/>
                <w:b/>
                <w:sz w:val="18"/>
                <w:szCs w:val="18"/>
              </w:rPr>
              <w:t>Battery type</w:t>
            </w:r>
          </w:p>
        </w:tc>
        <w:tc>
          <w:tcPr>
            <w:tcW w:w="1559" w:type="dxa"/>
            <w:tcBorders>
              <w:top w:val="single" w:sz="8" w:space="0" w:color="0070C0"/>
              <w:bottom w:val="single" w:sz="8" w:space="0" w:color="0070C0"/>
            </w:tcBorders>
            <w:shd w:val="clear" w:color="auto" w:fill="DBE5F1" w:themeFill="accent1" w:themeFillTint="33"/>
            <w:vAlign w:val="center"/>
          </w:tcPr>
          <w:p w:rsidR="00C02C8F" w:rsidRPr="00757EC5" w:rsidRDefault="00C02C8F" w:rsidP="00AC1E3A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757EC5">
              <w:rPr>
                <w:rFonts w:ascii="Century Gothic" w:hAnsi="Century Gothic"/>
                <w:b/>
                <w:sz w:val="18"/>
                <w:szCs w:val="18"/>
              </w:rPr>
              <w:t>Energy density (Wh/kg)</w:t>
            </w:r>
          </w:p>
        </w:tc>
        <w:tc>
          <w:tcPr>
            <w:tcW w:w="1134" w:type="dxa"/>
            <w:tcBorders>
              <w:top w:val="single" w:sz="8" w:space="0" w:color="0070C0"/>
              <w:bottom w:val="single" w:sz="8" w:space="0" w:color="0070C0"/>
            </w:tcBorders>
            <w:shd w:val="clear" w:color="auto" w:fill="DBE5F1" w:themeFill="accent1" w:themeFillTint="33"/>
            <w:vAlign w:val="center"/>
          </w:tcPr>
          <w:p w:rsidR="00C02C8F" w:rsidRPr="00757EC5" w:rsidRDefault="00C02C8F" w:rsidP="00AC1E3A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757EC5">
              <w:rPr>
                <w:rFonts w:ascii="Century Gothic" w:hAnsi="Century Gothic"/>
                <w:b/>
                <w:sz w:val="18"/>
                <w:szCs w:val="18"/>
              </w:rPr>
              <w:t>Reference</w:t>
            </w:r>
          </w:p>
        </w:tc>
      </w:tr>
      <w:tr w:rsidR="00C02C8F" w:rsidRPr="00757EC5" w:rsidTr="0071765C">
        <w:tc>
          <w:tcPr>
            <w:tcW w:w="2410" w:type="dxa"/>
            <w:tcBorders>
              <w:top w:val="single" w:sz="8" w:space="0" w:color="0070C0"/>
            </w:tcBorders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AA alkaline battery</w:t>
            </w:r>
          </w:p>
        </w:tc>
        <w:tc>
          <w:tcPr>
            <w:tcW w:w="1559" w:type="dxa"/>
            <w:tcBorders>
              <w:top w:val="single" w:sz="8" w:space="0" w:color="0070C0"/>
            </w:tcBorders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160</w:t>
            </w:r>
          </w:p>
        </w:tc>
        <w:tc>
          <w:tcPr>
            <w:tcW w:w="1134" w:type="dxa"/>
            <w:tcBorders>
              <w:top w:val="single" w:sz="8" w:space="0" w:color="0070C0"/>
            </w:tcBorders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Wikipedia</w:t>
            </w:r>
          </w:p>
        </w:tc>
      </w:tr>
      <w:tr w:rsidR="00C02C8F" w:rsidRPr="00757EC5" w:rsidTr="0071765C">
        <w:tc>
          <w:tcPr>
            <w:tcW w:w="2410" w:type="dxa"/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Lead-acid rechargeable car battery</w:t>
            </w:r>
          </w:p>
        </w:tc>
        <w:tc>
          <w:tcPr>
            <w:tcW w:w="1559" w:type="dxa"/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40</w:t>
            </w:r>
          </w:p>
        </w:tc>
        <w:tc>
          <w:tcPr>
            <w:tcW w:w="1134" w:type="dxa"/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Wikipedia</w:t>
            </w:r>
          </w:p>
        </w:tc>
      </w:tr>
      <w:tr w:rsidR="00C02C8F" w:rsidRPr="00757EC5" w:rsidTr="0071765C">
        <w:tc>
          <w:tcPr>
            <w:tcW w:w="2410" w:type="dxa"/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Lithium ion rechargeable phone battery</w:t>
            </w:r>
          </w:p>
        </w:tc>
        <w:tc>
          <w:tcPr>
            <w:tcW w:w="1559" w:type="dxa"/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150</w:t>
            </w:r>
          </w:p>
        </w:tc>
        <w:tc>
          <w:tcPr>
            <w:tcW w:w="1134" w:type="dxa"/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Wikipedia</w:t>
            </w:r>
          </w:p>
        </w:tc>
      </w:tr>
      <w:tr w:rsidR="00C02C8F" w:rsidRPr="00757EC5" w:rsidTr="0071765C">
        <w:tc>
          <w:tcPr>
            <w:tcW w:w="2410" w:type="dxa"/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Maltodextrin sugar battery</w:t>
            </w:r>
          </w:p>
        </w:tc>
        <w:tc>
          <w:tcPr>
            <w:tcW w:w="1559" w:type="dxa"/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298</w:t>
            </w:r>
          </w:p>
        </w:tc>
        <w:tc>
          <w:tcPr>
            <w:tcW w:w="1134" w:type="dxa"/>
            <w:vAlign w:val="center"/>
          </w:tcPr>
          <w:p w:rsidR="00C02C8F" w:rsidRPr="0071765C" w:rsidRDefault="00C02C8F" w:rsidP="0071765C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71765C">
              <w:rPr>
                <w:rFonts w:ascii="Century Gothic" w:hAnsi="Century Gothic"/>
                <w:sz w:val="16"/>
                <w:szCs w:val="16"/>
              </w:rPr>
              <w:t>This study</w:t>
            </w:r>
          </w:p>
        </w:tc>
      </w:tr>
    </w:tbl>
    <w:p w:rsidR="00D53028" w:rsidRPr="00757EC5" w:rsidRDefault="00AC1E3A" w:rsidP="0071765C">
      <w:pPr>
        <w:spacing w:after="120"/>
        <w:jc w:val="both"/>
        <w:rPr>
          <w:rFonts w:ascii="Century Gothic" w:hAnsi="Century Gothic"/>
          <w:sz w:val="20"/>
          <w:szCs w:val="20"/>
        </w:rPr>
      </w:pPr>
      <w:r w:rsidRPr="00043693">
        <w:rPr>
          <w:rFonts w:ascii="Century Gothic" w:hAnsi="Century Gothic"/>
          <w:b/>
          <w:i/>
        </w:rPr>
        <w:t>Authors</w:t>
      </w:r>
      <w:r w:rsidR="00D53028" w:rsidRPr="00757EC5">
        <w:rPr>
          <w:rFonts w:ascii="Century Gothic" w:hAnsi="Century Gothic"/>
          <w:b/>
          <w:i/>
          <w:sz w:val="20"/>
          <w:szCs w:val="20"/>
        </w:rPr>
        <w:br/>
      </w:r>
      <w:r w:rsidR="00D53028" w:rsidRPr="00757EC5">
        <w:rPr>
          <w:rFonts w:ascii="Century Gothic" w:hAnsi="Century Gothic"/>
          <w:sz w:val="20"/>
          <w:szCs w:val="20"/>
        </w:rPr>
        <w:t>Zhiguang Zhu, Tsz Kin Tam, Fangfang Sun, chun You, Y-H Percival Zhang</w:t>
      </w:r>
    </w:p>
    <w:p w:rsidR="00D53028" w:rsidRPr="00757EC5" w:rsidRDefault="00D53028" w:rsidP="00AE5F4B">
      <w:pPr>
        <w:rPr>
          <w:rFonts w:ascii="Century Gothic" w:hAnsi="Century Gothic"/>
        </w:rPr>
      </w:pPr>
      <w:r w:rsidRPr="00AC1E3A">
        <w:rPr>
          <w:rFonts w:ascii="Century Gothic" w:hAnsi="Century Gothic"/>
          <w:b/>
          <w:sz w:val="20"/>
          <w:szCs w:val="20"/>
        </w:rPr>
        <w:t>Autho</w:t>
      </w:r>
      <w:r w:rsidR="005A64A1" w:rsidRPr="00AC1E3A">
        <w:rPr>
          <w:rFonts w:ascii="Century Gothic" w:hAnsi="Century Gothic"/>
          <w:b/>
          <w:sz w:val="20"/>
          <w:szCs w:val="20"/>
        </w:rPr>
        <w:t>rs are from:</w:t>
      </w:r>
      <w:r w:rsidR="005A64A1" w:rsidRPr="00757EC5">
        <w:rPr>
          <w:rFonts w:ascii="Century Gothic" w:hAnsi="Century Gothic"/>
          <w:sz w:val="20"/>
          <w:szCs w:val="20"/>
        </w:rPr>
        <w:t xml:space="preserve"> </w:t>
      </w:r>
      <w:r w:rsidR="00AC1E3A">
        <w:rPr>
          <w:rFonts w:ascii="Century Gothic" w:hAnsi="Century Gothic"/>
          <w:sz w:val="20"/>
          <w:szCs w:val="20"/>
        </w:rPr>
        <w:t xml:space="preserve"> </w:t>
      </w:r>
      <w:r w:rsidR="005A64A1" w:rsidRPr="00757EC5">
        <w:rPr>
          <w:rFonts w:ascii="Century Gothic" w:hAnsi="Century Gothic"/>
          <w:sz w:val="20"/>
          <w:szCs w:val="20"/>
        </w:rPr>
        <w:t>Virginia Tech</w:t>
      </w:r>
      <w:r w:rsidR="00AE5F4B" w:rsidRPr="00757EC5">
        <w:rPr>
          <w:rFonts w:ascii="Century Gothic" w:hAnsi="Century Gothic"/>
          <w:sz w:val="20"/>
          <w:szCs w:val="20"/>
        </w:rPr>
        <w:t xml:space="preserve"> University</w:t>
      </w:r>
      <w:r w:rsidR="005A64A1" w:rsidRPr="00757EC5">
        <w:rPr>
          <w:rFonts w:ascii="Century Gothic" w:hAnsi="Century Gothic"/>
          <w:sz w:val="20"/>
          <w:szCs w:val="20"/>
        </w:rPr>
        <w:t xml:space="preserve">, USA </w:t>
      </w:r>
      <w:r w:rsidR="00AE5F4B" w:rsidRPr="00757EC5">
        <w:rPr>
          <w:rFonts w:ascii="Century Gothic" w:hAnsi="Century Gothic"/>
          <w:sz w:val="20"/>
          <w:szCs w:val="20"/>
        </w:rPr>
        <w:br/>
      </w:r>
      <w:r w:rsidRPr="00757EC5">
        <w:rPr>
          <w:rFonts w:ascii="Century Gothic" w:hAnsi="Century Gothic"/>
          <w:sz w:val="20"/>
          <w:szCs w:val="20"/>
        </w:rPr>
        <w:t xml:space="preserve">Cell Free Bioinnovations Inc, </w:t>
      </w:r>
      <w:r w:rsidR="00AE5F4B" w:rsidRPr="00757EC5">
        <w:rPr>
          <w:rFonts w:ascii="Century Gothic" w:hAnsi="Century Gothic"/>
          <w:sz w:val="20"/>
          <w:szCs w:val="20"/>
        </w:rPr>
        <w:t xml:space="preserve">a business in </w:t>
      </w:r>
      <w:r w:rsidR="005A64A1" w:rsidRPr="00757EC5">
        <w:rPr>
          <w:rFonts w:ascii="Century Gothic" w:hAnsi="Century Gothic"/>
          <w:sz w:val="20"/>
          <w:szCs w:val="20"/>
        </w:rPr>
        <w:t>Virginia, USA</w:t>
      </w:r>
    </w:p>
    <w:sectPr w:rsidR="00D53028" w:rsidRPr="00757EC5" w:rsidSect="0071765C">
      <w:type w:val="continuous"/>
      <w:pgSz w:w="11906" w:h="16838"/>
      <w:pgMar w:top="720" w:right="720" w:bottom="284" w:left="720" w:header="708" w:footer="708" w:gutter="0"/>
      <w:cols w:num="2" w:space="28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E3D86" w:rsidRDefault="00CE3D86" w:rsidP="004B5671">
      <w:pPr>
        <w:spacing w:after="0" w:line="240" w:lineRule="auto"/>
      </w:pPr>
      <w:r>
        <w:separator/>
      </w:r>
    </w:p>
  </w:endnote>
  <w:endnote w:type="continuationSeparator" w:id="0">
    <w:p w:rsidR="00CE3D86" w:rsidRDefault="00CE3D86" w:rsidP="004B5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E3D86" w:rsidRDefault="00CE3D86" w:rsidP="004B5671">
      <w:pPr>
        <w:spacing w:after="0" w:line="240" w:lineRule="auto"/>
      </w:pPr>
      <w:r>
        <w:separator/>
      </w:r>
    </w:p>
  </w:footnote>
  <w:footnote w:type="continuationSeparator" w:id="0">
    <w:p w:rsidR="00CE3D86" w:rsidRDefault="00CE3D86" w:rsidP="004B5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B5671" w:rsidRDefault="004B5671">
    <w:pPr>
      <w:pStyle w:val="Koptekst"/>
    </w:pPr>
    <w:r w:rsidRPr="004B5671">
      <w:rPr>
        <w:noProof/>
        <w:lang w:eastAsia="en-GB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-408940</wp:posOffset>
          </wp:positionH>
          <wp:positionV relativeFrom="paragraph">
            <wp:posOffset>-415925</wp:posOffset>
          </wp:positionV>
          <wp:extent cx="1031240" cy="412115"/>
          <wp:effectExtent l="19050" t="0" r="0" b="0"/>
          <wp:wrapThrough wrapText="bothSides">
            <wp:wrapPolygon edited="0">
              <wp:start x="1995" y="0"/>
              <wp:lineTo x="-399" y="7988"/>
              <wp:lineTo x="-399" y="13978"/>
              <wp:lineTo x="1995" y="18971"/>
              <wp:lineTo x="5586" y="20968"/>
              <wp:lineTo x="9576" y="20968"/>
              <wp:lineTo x="19153" y="20968"/>
              <wp:lineTo x="20749" y="20968"/>
              <wp:lineTo x="21547" y="18971"/>
              <wp:lineTo x="21547" y="12980"/>
              <wp:lineTo x="9576" y="1997"/>
              <wp:lineTo x="4788" y="0"/>
              <wp:lineTo x="1995" y="0"/>
            </wp:wrapPolygon>
          </wp:wrapThrough>
          <wp:docPr id="8" name="Picture 51" descr="engagelog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icture 4" descr="engagelogo.pn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31240" cy="4121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5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5671"/>
    <w:rsid w:val="00030439"/>
    <w:rsid w:val="00032CAE"/>
    <w:rsid w:val="00114F5A"/>
    <w:rsid w:val="001731EC"/>
    <w:rsid w:val="0027157A"/>
    <w:rsid w:val="00393BDB"/>
    <w:rsid w:val="00395D83"/>
    <w:rsid w:val="003C5512"/>
    <w:rsid w:val="004B5671"/>
    <w:rsid w:val="004C0AC1"/>
    <w:rsid w:val="0050467F"/>
    <w:rsid w:val="00510692"/>
    <w:rsid w:val="005A64A1"/>
    <w:rsid w:val="005B784C"/>
    <w:rsid w:val="006351E1"/>
    <w:rsid w:val="00672A8C"/>
    <w:rsid w:val="00675A32"/>
    <w:rsid w:val="006A2132"/>
    <w:rsid w:val="006C15A2"/>
    <w:rsid w:val="0071765C"/>
    <w:rsid w:val="00757EC5"/>
    <w:rsid w:val="007A75EE"/>
    <w:rsid w:val="00856C82"/>
    <w:rsid w:val="008D5307"/>
    <w:rsid w:val="00971291"/>
    <w:rsid w:val="009E6C64"/>
    <w:rsid w:val="00AB0882"/>
    <w:rsid w:val="00AC1E3A"/>
    <w:rsid w:val="00AD5BF0"/>
    <w:rsid w:val="00AE1374"/>
    <w:rsid w:val="00AE5F4B"/>
    <w:rsid w:val="00B5544C"/>
    <w:rsid w:val="00C02C8F"/>
    <w:rsid w:val="00C315B2"/>
    <w:rsid w:val="00C67F35"/>
    <w:rsid w:val="00C847D6"/>
    <w:rsid w:val="00CE3D86"/>
    <w:rsid w:val="00D53028"/>
    <w:rsid w:val="00DB7C7E"/>
    <w:rsid w:val="00E42DE0"/>
    <w:rsid w:val="00E565FD"/>
    <w:rsid w:val="00E86E5A"/>
    <w:rsid w:val="00E956FA"/>
    <w:rsid w:val="00ED53DC"/>
    <w:rsid w:val="00EE3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3470F30-7FDE-2D47-88DE-993623A3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C847D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link w:val="KoptekstChar"/>
    <w:uiPriority w:val="99"/>
    <w:semiHidden/>
    <w:unhideWhenUsed/>
    <w:rsid w:val="004B5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4B5671"/>
  </w:style>
  <w:style w:type="paragraph" w:styleId="Voettekst">
    <w:name w:val="footer"/>
    <w:basedOn w:val="Standaard"/>
    <w:link w:val="VoettekstChar"/>
    <w:uiPriority w:val="99"/>
    <w:semiHidden/>
    <w:unhideWhenUsed/>
    <w:rsid w:val="004B567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4B5671"/>
  </w:style>
  <w:style w:type="paragraph" w:styleId="Ballontekst">
    <w:name w:val="Balloon Text"/>
    <w:basedOn w:val="Standaard"/>
    <w:link w:val="BallontekstChar"/>
    <w:uiPriority w:val="99"/>
    <w:semiHidden/>
    <w:unhideWhenUsed/>
    <w:rsid w:val="004B56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4B5671"/>
    <w:rPr>
      <w:rFonts w:ascii="Tahoma" w:hAnsi="Tahoma" w:cs="Tahoma"/>
      <w:sz w:val="16"/>
      <w:szCs w:val="16"/>
    </w:rPr>
  </w:style>
  <w:style w:type="table" w:styleId="Tabelraster">
    <w:name w:val="Table Grid"/>
    <w:basedOn w:val="Standaardtabel"/>
    <w:uiPriority w:val="59"/>
    <w:rsid w:val="00395D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Geenafstand">
    <w:name w:val="No Spacing"/>
    <w:uiPriority w:val="1"/>
    <w:qFormat/>
    <w:rsid w:val="00C02C8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-werkblad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nl-NL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n-US" sz="1000"/>
              <a:t>comparison</a:t>
            </a:r>
            <a:r>
              <a:rPr lang="en-US" sz="1000" baseline="0"/>
              <a:t> of energy densities for </a:t>
            </a:r>
            <a:br>
              <a:rPr lang="en-US" sz="1000" baseline="0"/>
            </a:br>
            <a:r>
              <a:rPr lang="en-US" sz="1000" baseline="0"/>
              <a:t>batteries and EFcs</a:t>
            </a:r>
            <a:endParaRPr lang="en-US" sz="1000"/>
          </a:p>
        </c:rich>
      </c:tx>
      <c:layout>
        <c:manualLayout>
          <c:xMode val="edge"/>
          <c:yMode val="edge"/>
          <c:x val="0.22298677281361468"/>
          <c:y val="4.7260788112184017E-2"/>
        </c:manualLayout>
      </c:layout>
      <c:overlay val="0"/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'Sheet1'!$B$1</c:f>
              <c:strCache>
                <c:ptCount val="1"/>
                <c:pt idx="0">
                  <c:v>Series 1</c:v>
                </c:pt>
              </c:strCache>
            </c:strRef>
          </c:tx>
          <c:invertIfNegative val="0"/>
          <c:cat>
            <c:strRef>
              <c:f>'Sheet1'!$A$2:$A$5</c:f>
              <c:strCache>
                <c:ptCount val="4"/>
                <c:pt idx="0">
                  <c:v>AA alkaline battery</c:v>
                </c:pt>
                <c:pt idx="1">
                  <c:v>Lead-acid rechargeable battery</c:v>
                </c:pt>
                <c:pt idx="2">
                  <c:v>Lithium ion battery</c:v>
                </c:pt>
                <c:pt idx="3">
                  <c:v>Malotdextrin sugar EFC</c:v>
                </c:pt>
              </c:strCache>
            </c:strRef>
          </c:cat>
          <c:val>
            <c:numRef>
              <c:f>'Sheet1'!$B$2:$B$5</c:f>
              <c:numCache>
                <c:formatCode>General</c:formatCode>
                <c:ptCount val="4"/>
                <c:pt idx="0">
                  <c:v>160</c:v>
                </c:pt>
                <c:pt idx="1">
                  <c:v>40</c:v>
                </c:pt>
                <c:pt idx="2">
                  <c:v>150</c:v>
                </c:pt>
                <c:pt idx="3">
                  <c:v>298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419-F445-844B-E2E081BC396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00446592"/>
        <c:axId val="100448128"/>
      </c:barChart>
      <c:catAx>
        <c:axId val="100446592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txPr>
          <a:bodyPr/>
          <a:lstStyle/>
          <a:p>
            <a:pPr>
              <a:defRPr sz="800"/>
            </a:pPr>
            <a:endParaRPr lang="nl-NL"/>
          </a:p>
        </c:txPr>
        <c:crossAx val="100448128"/>
        <c:crosses val="autoZero"/>
        <c:auto val="1"/>
        <c:lblAlgn val="ctr"/>
        <c:lblOffset val="100"/>
        <c:noMultiLvlLbl val="0"/>
      </c:catAx>
      <c:valAx>
        <c:axId val="100448128"/>
        <c:scaling>
          <c:orientation val="minMax"/>
        </c:scaling>
        <c:delete val="0"/>
        <c:axPos val="l"/>
        <c:majorGridlines/>
        <c:title>
          <c:tx>
            <c:rich>
              <a:bodyPr rot="-5400000" vert="horz"/>
              <a:lstStyle/>
              <a:p>
                <a:pPr>
                  <a:defRPr/>
                </a:pPr>
                <a:r>
                  <a:rPr lang="en-GB"/>
                  <a:t>energy density (Wh/kg)</a:t>
                </a:r>
              </a:p>
            </c:rich>
          </c:tx>
          <c:layout>
            <c:manualLayout>
              <c:xMode val="edge"/>
              <c:yMode val="edge"/>
              <c:x val="2.4516238629870461E-2"/>
              <c:y val="7.0975709337115639E-2"/>
            </c:manualLayout>
          </c:layout>
          <c:overlay val="0"/>
        </c:title>
        <c:numFmt formatCode="General" sourceLinked="1"/>
        <c:majorTickMark val="out"/>
        <c:minorTickMark val="none"/>
        <c:tickLblPos val="nextTo"/>
        <c:crossAx val="100446592"/>
        <c:crosses val="autoZero"/>
        <c:crossBetween val="between"/>
      </c:valAx>
    </c:plotArea>
    <c:plotVisOnly val="1"/>
    <c:dispBlanksAs val="gap"/>
    <c:showDLblsOverMax val="0"/>
  </c:chart>
  <c:spPr>
    <a:ln>
      <a:solidFill>
        <a:schemeClr val="accent1"/>
      </a:solidFill>
    </a:ln>
  </c:spPr>
  <c:externalData r:id="rId1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440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Philippa</dc:creator>
  <cp:lastModifiedBy>Keulaerds, Theo</cp:lastModifiedBy>
  <cp:revision>2</cp:revision>
  <cp:lastPrinted>2016-06-16T14:58:00Z</cp:lastPrinted>
  <dcterms:created xsi:type="dcterms:W3CDTF">2020-11-15T12:06:00Z</dcterms:created>
  <dcterms:modified xsi:type="dcterms:W3CDTF">2020-11-15T12:06:00Z</dcterms:modified>
</cp:coreProperties>
</file>